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u w:val="single"/>
          <w:rtl w:val="0"/>
        </w:rPr>
        <w:t xml:space="preserve">        </w:t>
      </w:r>
    </w:p>
    <w:p w:rsidR="00000000" w:rsidDel="00000000" w:rsidP="00000000" w:rsidRDefault="00000000" w:rsidRPr="00000000" w14:paraId="00000002">
      <w:pPr>
        <w:rPr>
          <w:u w:val="single"/>
        </w:rPr>
      </w:pPr>
      <w:bookmarkStart w:colFirst="0" w:colLast="0" w:name="_rpc79lp22s1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</w:rPr>
      </w:pPr>
      <w:bookmarkStart w:colFirst="0" w:colLast="0" w:name="_n810a11y5yq5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u w:val="single"/>
        </w:rPr>
      </w:pPr>
      <w:bookmarkStart w:colFirst="0" w:colLast="0" w:name="_1osdqhvxkv3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u w:val="single"/>
        </w:rPr>
      </w:pPr>
      <w:bookmarkStart w:colFirst="0" w:colLast="0" w:name="_ylqwx5snlccl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u w:val="single"/>
        </w:rPr>
      </w:pPr>
      <w:bookmarkStart w:colFirst="0" w:colLast="0" w:name="_a1ja5e2juacn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u w:val="single"/>
        </w:rPr>
      </w:pPr>
      <w:bookmarkStart w:colFirst="0" w:colLast="0" w:name="_huufnrm9h1s7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spacing w:after="60" w:before="0" w:line="240" w:lineRule="auto"/>
        <w:jc w:val="center"/>
        <w:rPr>
          <w:rFonts w:ascii="Arial" w:cs="Arial" w:eastAsia="Arial" w:hAnsi="Arial"/>
          <w:b w:val="0"/>
          <w:color w:val="1f497d"/>
          <w:sz w:val="48"/>
          <w:szCs w:val="48"/>
        </w:rPr>
      </w:pPr>
      <w:bookmarkStart w:colFirst="0" w:colLast="0" w:name="_re6y3nhpkb0s" w:id="7"/>
      <w:bookmarkEnd w:id="7"/>
      <w:r w:rsidDel="00000000" w:rsidR="00000000" w:rsidRPr="00000000">
        <w:rPr>
          <w:rFonts w:ascii="Arial" w:cs="Arial" w:eastAsia="Arial" w:hAnsi="Arial"/>
          <w:b w:val="0"/>
          <w:color w:val="1f497d"/>
          <w:sz w:val="48"/>
          <w:szCs w:val="48"/>
          <w:rtl w:val="0"/>
        </w:rPr>
        <w:t xml:space="preserve">Análise de Viabilidade da Contratação</w:t>
      </w:r>
    </w:p>
    <w:p w:rsidR="00000000" w:rsidDel="00000000" w:rsidP="00000000" w:rsidRDefault="00000000" w:rsidRPr="00000000" w14:paraId="00000009">
      <w:pPr>
        <w:rPr>
          <w:u w:val="single"/>
        </w:rPr>
      </w:pPr>
      <w:bookmarkStart w:colFirst="0" w:colLast="0" w:name="_sag6npnpzqx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bookmarkStart w:colFirst="0" w:colLast="0" w:name="_ta8ubefznw1n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u w:val="single"/>
        </w:rPr>
      </w:pPr>
      <w:bookmarkStart w:colFirst="0" w:colLast="0" w:name="_escdchbp5hmz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u w:val="single"/>
        </w:rPr>
      </w:pPr>
      <w:bookmarkStart w:colFirst="0" w:colLast="0" w:name="_nnkju83b2cp2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u w:val="single"/>
        </w:rPr>
      </w:pPr>
      <w:bookmarkStart w:colFirst="0" w:colLast="0" w:name="_3q8wbdybedgc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u w:val="single"/>
        </w:rPr>
      </w:pPr>
      <w:bookmarkStart w:colFirst="0" w:colLast="0" w:name="_g37n7xld6ibu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u w:val="single"/>
        </w:rPr>
      </w:pPr>
      <w:bookmarkStart w:colFirst="0" w:colLast="0" w:name="_avdvpoinaiet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u w:val="single"/>
        </w:rPr>
      </w:pPr>
      <w:bookmarkStart w:colFirst="0" w:colLast="0" w:name="_1k10pl8kwcm4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u w:val="single"/>
        </w:rPr>
      </w:pPr>
      <w:bookmarkStart w:colFirst="0" w:colLast="0" w:name="_jht55tsi44jr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u w:val="single"/>
        </w:rPr>
      </w:pPr>
      <w:bookmarkStart w:colFirst="0" w:colLast="0" w:name="_y7jvj8mpyoh5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u w:val="single"/>
        </w:rPr>
      </w:pPr>
      <w:bookmarkStart w:colFirst="0" w:colLast="0" w:name="_vsnpwojkbm19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u w:val="single"/>
        </w:rPr>
      </w:pPr>
      <w:bookmarkStart w:colFirst="0" w:colLast="0" w:name="_ilis21lob5hh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u w:val="single"/>
        </w:rPr>
      </w:pPr>
      <w:bookmarkStart w:colFirst="0" w:colLast="0" w:name="_69d4e8lbeqaq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u w:val="single"/>
        </w:rPr>
      </w:pPr>
      <w:bookmarkStart w:colFirst="0" w:colLast="0" w:name="_ho3z5o3truex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u w:val="single"/>
        </w:rPr>
      </w:pPr>
      <w:bookmarkStart w:colFirst="0" w:colLast="0" w:name="_iavpaof3nkzx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u w:val="single"/>
        </w:rPr>
      </w:pPr>
      <w:bookmarkStart w:colFirst="0" w:colLast="0" w:name="_inq9yq7dx1ql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u w:val="single"/>
        </w:rPr>
      </w:pPr>
      <w:bookmarkStart w:colFirst="0" w:colLast="0" w:name="_3panahfiue8j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u w:val="single"/>
        </w:rPr>
      </w:pPr>
      <w:bookmarkStart w:colFirst="0" w:colLast="0" w:name="_h86t1bbtqsya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u w:val="single"/>
        </w:rPr>
      </w:pPr>
      <w:bookmarkStart w:colFirst="0" w:colLast="0" w:name="_t1ucgxpyqgl0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u w:val="single"/>
        </w:rPr>
      </w:pPr>
      <w:bookmarkStart w:colFirst="0" w:colLast="0" w:name="_ckvlq63w699d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u w:val="single"/>
        </w:rPr>
      </w:pPr>
      <w:bookmarkStart w:colFirst="0" w:colLast="0" w:name="_58znlkcm2qro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u w:val="single"/>
        </w:rPr>
      </w:pPr>
      <w:bookmarkStart w:colFirst="0" w:colLast="0" w:name="_4evpaec97rq9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keepLines w:val="0"/>
        <w:numPr>
          <w:ilvl w:val="0"/>
          <w:numId w:val="1"/>
        </w:numPr>
        <w:shd w:fill="ffffff" w:val="clear"/>
        <w:spacing w:before="240" w:line="240" w:lineRule="auto"/>
        <w:ind w:left="720" w:hanging="360"/>
        <w:jc w:val="both"/>
      </w:pPr>
      <w:r w:rsidDel="00000000" w:rsidR="00000000" w:rsidRPr="00000000">
        <w:rPr>
          <w:rFonts w:ascii="Arial" w:cs="Arial" w:eastAsia="Arial" w:hAnsi="Arial"/>
          <w:b w:val="0"/>
          <w:color w:val="05377a"/>
          <w:sz w:val="36"/>
          <w:szCs w:val="36"/>
          <w:rtl w:val="0"/>
        </w:rPr>
        <w:t xml:space="preserve">Apresentação</w:t>
      </w:r>
    </w:p>
    <w:p w:rsidR="00000000" w:rsidDel="00000000" w:rsidP="00000000" w:rsidRDefault="00000000" w:rsidRPr="00000000" w14:paraId="00000020">
      <w:pPr>
        <w:shd w:fill="ffffff" w:val="clear"/>
        <w:spacing w:after="0" w:before="120" w:line="240" w:lineRule="auto"/>
        <w:ind w:firstLine="567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Este documento tem a finalidade de coletar e registrar as informações referente à viabilidade da contratação da solicitação de DEMANDA de Tecnologia da Informação, do ponto de vista da viabilidade funcional de negócio e técnica da contratação, levando-se em conta os aspectos de eficácia, eficiência, economicidade e padronização.</w:t>
      </w:r>
    </w:p>
    <w:p w:rsidR="00000000" w:rsidDel="00000000" w:rsidP="00000000" w:rsidRDefault="00000000" w:rsidRPr="00000000" w14:paraId="00000021">
      <w:pPr>
        <w:shd w:fill="ffffff" w:val="clear"/>
        <w:spacing w:after="0" w:before="120" w:line="240" w:lineRule="auto"/>
        <w:ind w:firstLine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Dada a importância do adequado preenchimento das informações, seguem algumas orientações:</w:t>
      </w:r>
    </w:p>
    <w:p w:rsidR="00000000" w:rsidDel="00000000" w:rsidP="00000000" w:rsidRDefault="00000000" w:rsidRPr="00000000" w14:paraId="00000022">
      <w:pPr>
        <w:widowControl w:val="0"/>
        <w:shd w:fill="ffffff" w:val="clear"/>
        <w:spacing w:after="0" w:before="120" w:line="24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Antes de iniciar o preenchimento, leia todo o formulário. Isso facilitará o seu trabalho e permitirá um melhor entendimento de quais informações devam ser fornecidas em cada item;</w:t>
      </w:r>
    </w:p>
    <w:p w:rsidR="00000000" w:rsidDel="00000000" w:rsidP="00000000" w:rsidRDefault="00000000" w:rsidRPr="00000000" w14:paraId="00000023">
      <w:pPr>
        <w:widowControl w:val="0"/>
        <w:shd w:fill="ffffff" w:val="clear"/>
        <w:spacing w:after="0" w:before="120" w:line="24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Seja preciso, claro e conciso em suas informações;</w:t>
      </w:r>
    </w:p>
    <w:p w:rsidR="00000000" w:rsidDel="00000000" w:rsidP="00000000" w:rsidRDefault="00000000" w:rsidRPr="00000000" w14:paraId="00000024">
      <w:pPr>
        <w:widowControl w:val="0"/>
        <w:shd w:fill="ffffff" w:val="clear"/>
        <w:spacing w:after="0" w:before="120" w:line="24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Evite a utilização de termos eminentemente técnicos, mas se forem necessários, inclua uma sucinta explicação;</w:t>
      </w:r>
    </w:p>
    <w:p w:rsidR="00000000" w:rsidDel="00000000" w:rsidP="00000000" w:rsidRDefault="00000000" w:rsidRPr="00000000" w14:paraId="00000025">
      <w:pPr>
        <w:shd w:fill="ffffff" w:val="clear"/>
        <w:spacing w:after="0" w:before="120" w:line="240" w:lineRule="auto"/>
        <w:jc w:val="both"/>
        <w:rPr>
          <w:rFonts w:ascii="Arial" w:cs="Arial" w:eastAsia="Arial" w:hAnsi="Arial"/>
          <w:color w:val="2b2b2b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Dependendo da demanda, alguns campos podem não ser preenchidos. Nesse caso, informe: “</w:t>
      </w:r>
      <w:r w:rsidDel="00000000" w:rsidR="00000000" w:rsidRPr="00000000">
        <w:rPr>
          <w:rFonts w:ascii="Arial" w:cs="Arial" w:eastAsia="Arial" w:hAnsi="Arial"/>
          <w:b w:val="1"/>
          <w:i w:val="1"/>
          <w:highlight w:val="white"/>
          <w:rtl w:val="0"/>
        </w:rPr>
        <w:t xml:space="preserve">Não se aplica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!”, justificando o motivo.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0" w:before="120" w:line="240" w:lineRule="auto"/>
        <w:ind w:left="720" w:hanging="360"/>
        <w:jc w:val="both"/>
      </w:pPr>
      <w:r w:rsidDel="00000000" w:rsidR="00000000" w:rsidRPr="00000000">
        <w:rPr>
          <w:rFonts w:ascii="Arial" w:cs="Arial" w:eastAsia="Arial" w:hAnsi="Arial"/>
          <w:color w:val="05377a"/>
          <w:sz w:val="32"/>
          <w:szCs w:val="32"/>
          <w:rtl w:val="0"/>
        </w:rPr>
        <w:t xml:space="preserve"> Contextualização</w:t>
      </w:r>
    </w:p>
    <w:p w:rsidR="00000000" w:rsidDel="00000000" w:rsidP="00000000" w:rsidRDefault="00000000" w:rsidRPr="00000000" w14:paraId="00000027">
      <w:pPr>
        <w:shd w:fill="ffffff" w:val="clear"/>
        <w:spacing w:after="0" w:before="120" w:line="240" w:lineRule="auto"/>
        <w:ind w:left="720" w:firstLine="0"/>
        <w:jc w:val="both"/>
        <w:rPr>
          <w:rFonts w:ascii="Arial" w:cs="Arial" w:eastAsia="Arial" w:hAnsi="Arial"/>
          <w:color w:val="05377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hd w:fill="ffffff" w:val="clear"/>
        <w:spacing w:after="220" w:line="240" w:lineRule="auto"/>
        <w:ind w:firstLine="720"/>
        <w:jc w:val="both"/>
        <w:rPr>
          <w:rFonts w:ascii="Arial" w:cs="Arial" w:eastAsia="Arial" w:hAnsi="Arial"/>
          <w:i w:val="1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2"/>
          <w:szCs w:val="22"/>
          <w:rtl w:val="0"/>
        </w:rPr>
        <w:t xml:space="preserve">Descrever com base no DOD e de forma sucinta, precisa, clara e suficiente as motivações que impulsionaram a decisão de realizar uma nova contratação ou manter (renovar) uma contratação. Cabe lembrar que a demanda deve atender a uma necessidade justificada e gerar resultados para o negócio .</w:t>
      </w:r>
    </w:p>
    <w:p w:rsidR="00000000" w:rsidDel="00000000" w:rsidP="00000000" w:rsidRDefault="00000000" w:rsidRPr="00000000" w14:paraId="00000029">
      <w:pPr>
        <w:widowControl w:val="0"/>
        <w:shd w:fill="ffffff" w:val="clear"/>
        <w:spacing w:after="12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Texto…</w:t>
      </w:r>
    </w:p>
    <w:p w:rsidR="00000000" w:rsidDel="00000000" w:rsidP="00000000" w:rsidRDefault="00000000" w:rsidRPr="00000000" w14:paraId="0000002A">
      <w:pPr>
        <w:keepNext w:val="1"/>
        <w:keepLines w:val="1"/>
        <w:numPr>
          <w:ilvl w:val="0"/>
          <w:numId w:val="1"/>
        </w:numPr>
        <w:shd w:fill="ffffff" w:val="clear"/>
        <w:spacing w:after="120" w:before="360" w:line="240" w:lineRule="auto"/>
        <w:ind w:left="720" w:hanging="360"/>
        <w:jc w:val="both"/>
      </w:pPr>
      <w:r w:rsidDel="00000000" w:rsidR="00000000" w:rsidRPr="00000000">
        <w:rPr>
          <w:rFonts w:ascii="Arial" w:cs="Arial" w:eastAsia="Arial" w:hAnsi="Arial"/>
          <w:color w:val="000080"/>
          <w:sz w:val="32"/>
          <w:szCs w:val="32"/>
          <w:rtl w:val="0"/>
        </w:rPr>
        <w:t xml:space="preserve">A definição e a especificação dos requisitos, a partir da avaliação do Documento de Oficialização da Demanda e do levantamento</w:t>
      </w:r>
    </w:p>
    <w:p w:rsidR="00000000" w:rsidDel="00000000" w:rsidP="00000000" w:rsidRDefault="00000000" w:rsidRPr="00000000" w14:paraId="0000002B">
      <w:pPr>
        <w:widowControl w:val="0"/>
        <w:shd w:fill="ffffff" w:val="clear"/>
        <w:spacing w:after="120" w:before="360" w:line="288" w:lineRule="auto"/>
        <w:ind w:firstLine="720"/>
        <w:jc w:val="both"/>
        <w:rPr>
          <w:rFonts w:ascii="Arial" w:cs="Arial" w:eastAsia="Arial" w:hAnsi="Arial"/>
          <w:i w:val="1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2"/>
          <w:szCs w:val="22"/>
          <w:rtl w:val="0"/>
        </w:rPr>
        <w:t xml:space="preserve">Descrever com base no DOD e de forma sucinta, precisa, clara e suficiente as especificações do objeto a ser contratado. Esta descrição servirá apenas como uma  base para a elaboração do Termo de Referência</w:t>
      </w:r>
    </w:p>
    <w:p w:rsidR="00000000" w:rsidDel="00000000" w:rsidP="00000000" w:rsidRDefault="00000000" w:rsidRPr="00000000" w14:paraId="0000002C">
      <w:pPr>
        <w:widowControl w:val="0"/>
        <w:shd w:fill="ffffff" w:val="clear"/>
        <w:spacing w:after="120" w:before="360" w:line="288" w:lineRule="auto"/>
        <w:ind w:left="720" w:firstLine="720"/>
        <w:jc w:val="both"/>
        <w:rPr>
          <w:rFonts w:ascii="Arial" w:cs="Arial" w:eastAsia="Arial" w:hAnsi="Arial"/>
          <w:color w:val="2b2b2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hd w:fill="ffffff" w:val="clear"/>
        <w:spacing w:after="140" w:line="276" w:lineRule="auto"/>
        <w:ind w:left="708.6614173228347" w:hanging="288.66141732283467"/>
        <w:jc w:val="both"/>
        <w:rPr>
          <w:rFonts w:ascii="Arial" w:cs="Arial" w:eastAsia="Arial" w:hAnsi="Arial"/>
          <w:color w:val="2b2b2b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80"/>
          <w:sz w:val="32"/>
          <w:szCs w:val="32"/>
          <w:rtl w:val="0"/>
        </w:rPr>
        <w:t xml:space="preserve">  4.Contratações Públicas Similares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hd w:fill="ffffff" w:val="clear"/>
        <w:spacing w:after="200" w:line="276" w:lineRule="auto"/>
        <w:ind w:left="397" w:firstLine="323"/>
        <w:jc w:val="both"/>
        <w:rPr>
          <w:rFonts w:ascii="Arial" w:cs="Arial" w:eastAsia="Arial" w:hAnsi="Arial"/>
          <w:i w:val="1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2"/>
          <w:szCs w:val="22"/>
          <w:rtl w:val="0"/>
        </w:rPr>
        <w:t xml:space="preserve">Apresentar contratações cujo objeto seja o mais similar possível da contratação efetuada e, de preferência, de órgãos públicos de esfera superior ou da mesma esfera, ou seja, federal ou estadual. A apresentação de extratos de contratos poderá ‘balancear’ adequadamente a verificação dos atuais preços praticados no mercado. Sugere-se tomar como base contratações do mesmo ano fiscal ou o mais próximo possível.. </w:t>
      </w:r>
    </w:p>
    <w:p w:rsidR="00000000" w:rsidDel="00000000" w:rsidP="00000000" w:rsidRDefault="00000000" w:rsidRPr="00000000" w14:paraId="0000002F">
      <w:pPr>
        <w:widowControl w:val="0"/>
        <w:shd w:fill="ffffff" w:val="clear"/>
        <w:spacing w:after="200" w:line="276" w:lineRule="auto"/>
        <w:ind w:left="397" w:firstLine="32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Texto…</w:t>
      </w:r>
    </w:p>
    <w:p w:rsidR="00000000" w:rsidDel="00000000" w:rsidP="00000000" w:rsidRDefault="00000000" w:rsidRPr="00000000" w14:paraId="00000030">
      <w:pPr>
        <w:widowControl w:val="0"/>
        <w:shd w:fill="ffffff" w:val="clear"/>
        <w:spacing w:after="120" w:line="276" w:lineRule="auto"/>
        <w:ind w:firstLine="709"/>
        <w:jc w:val="both"/>
        <w:rPr>
          <w:rFonts w:ascii="Arial" w:cs="Arial" w:eastAsia="Arial" w:hAnsi="Arial"/>
          <w:color w:val="2b2b2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shd w:fill="ffffff" w:val="clear"/>
        <w:spacing w:after="120" w:line="240" w:lineRule="auto"/>
        <w:ind w:left="708.6614173228347" w:hanging="283.46456692913375"/>
        <w:jc w:val="both"/>
        <w:rPr>
          <w:rFonts w:ascii="Arial" w:cs="Arial" w:eastAsia="Arial" w:hAnsi="Arial"/>
          <w:b w:val="0"/>
          <w:color w:val="00008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0"/>
          <w:color w:val="000080"/>
          <w:sz w:val="32"/>
          <w:szCs w:val="32"/>
          <w:rtl w:val="0"/>
        </w:rPr>
        <w:t xml:space="preserve">5.Alternativa no Mercado de TIC </w:t>
      </w:r>
    </w:p>
    <w:p w:rsidR="00000000" w:rsidDel="00000000" w:rsidP="00000000" w:rsidRDefault="00000000" w:rsidRPr="00000000" w14:paraId="00000032">
      <w:pPr>
        <w:shd w:fill="ffffff" w:val="clear"/>
        <w:spacing w:after="120" w:before="200" w:line="240" w:lineRule="auto"/>
        <w:ind w:left="454" w:firstLine="266"/>
        <w:jc w:val="both"/>
        <w:rPr>
          <w:rFonts w:ascii="Arial" w:cs="Arial" w:eastAsia="Arial" w:hAnsi="Arial"/>
          <w:color w:val="2b2b2b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2"/>
          <w:szCs w:val="22"/>
          <w:highlight w:val="white"/>
          <w:rtl w:val="0"/>
        </w:rPr>
        <w:t xml:space="preserve">Aplicável 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2"/>
          <w:szCs w:val="22"/>
          <w:highlight w:val="white"/>
          <w:rtl w:val="0"/>
        </w:rPr>
        <w:t xml:space="preserve">especialmente para o caso de soluções que envolvam software.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2"/>
          <w:szCs w:val="22"/>
          <w:highlight w:val="white"/>
          <w:rtl w:val="0"/>
        </w:rPr>
        <w:t xml:space="preserve">Verificar se o mercado atual de TI oferece solução alternativa de software livre ou público. Caso exista e apresente maior vantajosidade (economicidade, eficácia, eficiência, etc.) para o TJPB, deve se prorrogar o contrato por um período de até 12 (doze) meses e iniciar novo procedimento de contratação.</w:t>
      </w:r>
      <w:r w:rsidDel="00000000" w:rsidR="00000000" w:rsidRPr="00000000">
        <w:rPr>
          <w:rFonts w:ascii="Arial" w:cs="Arial" w:eastAsia="Arial" w:hAnsi="Arial"/>
          <w:i w:val="1"/>
          <w:color w:val="333333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hd w:fill="ffffff" w:val="clear"/>
        <w:spacing w:after="12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Texto…</w:t>
      </w:r>
    </w:p>
    <w:p w:rsidR="00000000" w:rsidDel="00000000" w:rsidP="00000000" w:rsidRDefault="00000000" w:rsidRPr="00000000" w14:paraId="00000034">
      <w:pPr>
        <w:widowControl w:val="0"/>
        <w:shd w:fill="ffffff" w:val="clear"/>
        <w:spacing w:after="120" w:line="276" w:lineRule="auto"/>
        <w:ind w:firstLine="709"/>
        <w:jc w:val="both"/>
        <w:rPr>
          <w:rFonts w:ascii="Arial" w:cs="Arial" w:eastAsia="Arial" w:hAnsi="Arial"/>
          <w:color w:val="2b2b2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shd w:fill="ffffff" w:val="clear"/>
        <w:spacing w:after="120" w:line="240" w:lineRule="auto"/>
        <w:ind w:left="708.6614173228347" w:hanging="283.46456692913375"/>
        <w:jc w:val="both"/>
        <w:rPr>
          <w:rFonts w:ascii="Arial" w:cs="Arial" w:eastAsia="Arial" w:hAnsi="Arial"/>
          <w:b w:val="0"/>
          <w:color w:val="00008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0"/>
          <w:color w:val="000080"/>
          <w:sz w:val="32"/>
          <w:szCs w:val="32"/>
          <w:rtl w:val="0"/>
        </w:rPr>
        <w:t xml:space="preserve">6.Análise dos Custos Totais da Demanda </w:t>
      </w:r>
    </w:p>
    <w:p w:rsidR="00000000" w:rsidDel="00000000" w:rsidP="00000000" w:rsidRDefault="00000000" w:rsidRPr="00000000" w14:paraId="00000036">
      <w:pPr>
        <w:shd w:fill="ffffff" w:val="clear"/>
        <w:spacing w:after="120" w:before="200" w:line="240" w:lineRule="auto"/>
        <w:ind w:left="578"/>
        <w:jc w:val="both"/>
        <w:rPr>
          <w:rFonts w:ascii="Arial" w:cs="Arial" w:eastAsia="Arial" w:hAnsi="Arial"/>
          <w:i w:val="1"/>
          <w:color w:val="ff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4f81bd"/>
          <w:sz w:val="22"/>
          <w:szCs w:val="22"/>
          <w:highlight w:val="whit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i w:val="1"/>
          <w:color w:val="ff0000"/>
          <w:sz w:val="22"/>
          <w:szCs w:val="22"/>
          <w:highlight w:val="white"/>
          <w:rtl w:val="0"/>
        </w:rPr>
        <w:t xml:space="preserve">Apresentar análise de custos da Solução contratada, inclusive com valores referentes aos demais itens, serviços complementares e insumos. </w:t>
      </w:r>
    </w:p>
    <w:p w:rsidR="00000000" w:rsidDel="00000000" w:rsidP="00000000" w:rsidRDefault="00000000" w:rsidRPr="00000000" w14:paraId="00000037">
      <w:pPr>
        <w:shd w:fill="ffffff" w:val="clear"/>
        <w:spacing w:after="120" w:before="200" w:line="240" w:lineRule="auto"/>
        <w:ind w:left="57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Texto…</w:t>
      </w:r>
    </w:p>
    <w:p w:rsidR="00000000" w:rsidDel="00000000" w:rsidP="00000000" w:rsidRDefault="00000000" w:rsidRPr="00000000" w14:paraId="00000038">
      <w:pPr>
        <w:widowControl w:val="0"/>
        <w:shd w:fill="ffffff" w:val="clear"/>
        <w:spacing w:after="12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shd w:fill="ffffff" w:val="clear"/>
        <w:spacing w:after="120" w:line="240" w:lineRule="auto"/>
        <w:ind w:left="850.3937007874017" w:hanging="425.19685039370086"/>
        <w:jc w:val="both"/>
        <w:rPr>
          <w:rFonts w:ascii="Arial" w:cs="Arial" w:eastAsia="Arial" w:hAnsi="Arial"/>
          <w:b w:val="0"/>
          <w:color w:val="00008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0"/>
          <w:color w:val="000080"/>
          <w:sz w:val="32"/>
          <w:szCs w:val="32"/>
          <w:rtl w:val="0"/>
        </w:rPr>
        <w:t xml:space="preserve">7.Orçamento Estimado</w:t>
      </w:r>
    </w:p>
    <w:p w:rsidR="00000000" w:rsidDel="00000000" w:rsidP="00000000" w:rsidRDefault="00000000" w:rsidRPr="00000000" w14:paraId="0000003A">
      <w:pPr>
        <w:shd w:fill="ffffff" w:val="clear"/>
        <w:spacing w:after="120" w:line="240" w:lineRule="auto"/>
        <w:ind w:left="510" w:hanging="57.00000000000003"/>
        <w:jc w:val="both"/>
        <w:rPr>
          <w:rFonts w:ascii="Arial" w:cs="Arial" w:eastAsia="Arial" w:hAnsi="Arial"/>
          <w:color w:val="2b2b2b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2b2b2b"/>
          <w:sz w:val="22"/>
          <w:szCs w:val="22"/>
          <w:highlight w:val="whit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1"/>
          <w:color w:val="ff0000"/>
          <w:sz w:val="22"/>
          <w:szCs w:val="22"/>
          <w:highlight w:val="white"/>
          <w:rtl w:val="0"/>
        </w:rPr>
        <w:t xml:space="preserve">Com base na análise dos custos totais, informar o valor  da Solução a ser contratada Apresentar objetivamente o resultado encontrado. É aconselhável que as memórias de cálculos sejam incluídas em Anexo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hd w:fill="ffffff" w:val="clear"/>
        <w:spacing w:after="12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Texto…</w:t>
      </w:r>
    </w:p>
    <w:p w:rsidR="00000000" w:rsidDel="00000000" w:rsidP="00000000" w:rsidRDefault="00000000" w:rsidRPr="00000000" w14:paraId="0000003C">
      <w:pPr>
        <w:shd w:fill="ffffff" w:val="clear"/>
        <w:spacing w:after="120" w:before="200" w:line="276" w:lineRule="auto"/>
        <w:ind w:firstLine="454"/>
        <w:jc w:val="both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Informar se é uma despesa destinada a investimento ou a custeio.</w:t>
      </w:r>
    </w:p>
    <w:p w:rsidR="00000000" w:rsidDel="00000000" w:rsidP="00000000" w:rsidRDefault="00000000" w:rsidRPr="00000000" w14:paraId="0000003D">
      <w:pPr>
        <w:shd w:fill="ffffff" w:val="clear"/>
        <w:spacing w:after="120" w:before="200" w:line="276" w:lineRule="auto"/>
        <w:ind w:firstLine="454"/>
        <w:jc w:val="both"/>
        <w:rPr>
          <w:rFonts w:ascii="Arial" w:cs="Arial" w:eastAsia="Arial" w:hAnsi="Arial"/>
          <w:color w:val="2b2b2b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rtl w:val="0"/>
        </w:rPr>
        <w:t xml:space="preserve">[      ] Custeio   [      ]</w:t>
      </w:r>
      <w:r w:rsidDel="00000000" w:rsidR="00000000" w:rsidRPr="00000000">
        <w:rPr>
          <w:rFonts w:ascii="Arial" w:cs="Arial" w:eastAsia="Arial" w:hAnsi="Arial"/>
          <w:b w:val="1"/>
          <w:i w:val="1"/>
          <w:color w:val="333333"/>
          <w:rtl w:val="0"/>
        </w:rPr>
        <w:t xml:space="preserve"> Investimento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120" w:before="200" w:line="276" w:lineRule="auto"/>
        <w:ind w:firstLine="454"/>
        <w:jc w:val="both"/>
        <w:rPr>
          <w:rFonts w:ascii="Arial" w:cs="Arial" w:eastAsia="Arial" w:hAnsi="Arial"/>
          <w:color w:val="2b2b2b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a"/>
          <w:sz w:val="22"/>
          <w:szCs w:val="22"/>
          <w:rtl w:val="0"/>
        </w:rPr>
        <w:t xml:space="preserve">Investimento</w:t>
      </w:r>
      <w:r w:rsidDel="00000000" w:rsidR="00000000" w:rsidRPr="00000000">
        <w:rPr>
          <w:rFonts w:ascii="Arial" w:cs="Arial" w:eastAsia="Arial" w:hAnsi="Arial"/>
          <w:i w:val="1"/>
          <w:color w:val="00000a"/>
          <w:sz w:val="22"/>
          <w:szCs w:val="22"/>
          <w:rtl w:val="0"/>
        </w:rPr>
        <w:t xml:space="preserve">- Estão nesta categoria as despesas que concorrem para ampliação dos serviços prestados pelo órgão e/ou para a expansão das suas atividades. No que se relaciona às despesas de TI, podemos citar aquisições de equipamentos, desenvolvimento de novos softwares, manutenção evolutiva de softwares, entre outras.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76" w:lineRule="auto"/>
        <w:ind w:firstLine="454"/>
        <w:jc w:val="both"/>
        <w:rPr>
          <w:rFonts w:ascii="Arial" w:cs="Arial" w:eastAsia="Arial" w:hAnsi="Arial"/>
          <w:color w:val="2b2b2b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a"/>
          <w:sz w:val="22"/>
          <w:szCs w:val="22"/>
          <w:rtl w:val="0"/>
        </w:rPr>
        <w:t xml:space="preserve">Custeio-</w:t>
      </w:r>
      <w:r w:rsidDel="00000000" w:rsidR="00000000" w:rsidRPr="00000000">
        <w:rPr>
          <w:rFonts w:ascii="Arial" w:cs="Arial" w:eastAsia="Arial" w:hAnsi="Arial"/>
          <w:i w:val="1"/>
          <w:color w:val="00000a"/>
          <w:sz w:val="22"/>
          <w:szCs w:val="22"/>
          <w:rtl w:val="0"/>
        </w:rPr>
        <w:t xml:space="preserve"> Despesas de custeio de manutenção das atividades dos órgãos da administração pública. Estão nesta categoria as despesas que não concorrem para ampliação dos serviços prestados pelo órgão, nem para a expansão das suas atividades.No que se relaciona às despesas de TI, podemos citar aquisições de materiais de consumo ( cartuchos de tinta, tonners, peças de reposição, pen-drives, fitas de backup, entre outras), manutenções corretivas de softwares, manutenção de serviços já existentes, renovação de licenças de softwares já existentes, entre outras.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keepLines w:val="0"/>
        <w:shd w:fill="ffffff" w:val="clear"/>
        <w:spacing w:before="240" w:line="240" w:lineRule="auto"/>
        <w:ind w:left="708.6614173228347" w:hanging="283.46456692913375"/>
        <w:jc w:val="both"/>
        <w:rPr>
          <w:rFonts w:ascii="Arial" w:cs="Arial" w:eastAsia="Arial" w:hAnsi="Arial"/>
          <w:b w:val="0"/>
          <w:color w:val="05377a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0"/>
          <w:color w:val="05377a"/>
          <w:sz w:val="36"/>
          <w:szCs w:val="36"/>
          <w:rtl w:val="0"/>
        </w:rPr>
        <w:t xml:space="preserve">8.Assinaturas</w:t>
      </w:r>
    </w:p>
    <w:p w:rsidR="00000000" w:rsidDel="00000000" w:rsidP="00000000" w:rsidRDefault="00000000" w:rsidRPr="00000000" w14:paraId="00000041">
      <w:pPr>
        <w:shd w:fill="ffffff" w:val="clear"/>
        <w:spacing w:after="120" w:line="276" w:lineRule="auto"/>
        <w:ind w:firstLine="709"/>
        <w:jc w:val="right"/>
        <w:rPr>
          <w:rFonts w:ascii="Arial" w:cs="Arial" w:eastAsia="Arial" w:hAnsi="Arial"/>
          <w:i w:val="1"/>
          <w:color w:val="1f497d"/>
        </w:rPr>
      </w:pPr>
      <w:r w:rsidDel="00000000" w:rsidR="00000000" w:rsidRPr="00000000">
        <w:rPr>
          <w:rFonts w:ascii="Arial" w:cs="Arial" w:eastAsia="Arial" w:hAnsi="Arial"/>
          <w:i w:val="1"/>
          <w:color w:val="1f497d"/>
          <w:rtl w:val="0"/>
        </w:rPr>
        <w:t xml:space="preserve">Local e data (dd/mm/aaaa),</w:t>
      </w:r>
    </w:p>
    <w:p w:rsidR="00000000" w:rsidDel="00000000" w:rsidP="00000000" w:rsidRDefault="00000000" w:rsidRPr="00000000" w14:paraId="00000042">
      <w:pPr>
        <w:shd w:fill="ffffff" w:val="clear"/>
        <w:spacing w:after="120" w:line="276" w:lineRule="auto"/>
        <w:ind w:firstLine="709"/>
        <w:jc w:val="both"/>
        <w:rPr>
          <w:rFonts w:ascii="Arial" w:cs="Arial" w:eastAsia="Arial" w:hAnsi="Arial"/>
          <w:i w:val="1"/>
          <w:color w:val="1f497d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652"/>
        <w:gridCol w:w="5052"/>
        <w:tblGridChange w:id="0">
          <w:tblGrid>
            <w:gridCol w:w="3652"/>
            <w:gridCol w:w="5052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hd w:fill="ffffff" w:val="clear"/>
              <w:spacing w:after="12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Integrante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hd w:fill="ffffff" w:val="clear"/>
              <w:spacing w:after="12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hd w:fill="ffffff" w:val="clear"/>
        <w:spacing w:after="20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652"/>
        <w:gridCol w:w="5052"/>
        <w:tblGridChange w:id="0">
          <w:tblGrid>
            <w:gridCol w:w="3652"/>
            <w:gridCol w:w="5052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hd w:fill="ffffff" w:val="clear"/>
              <w:spacing w:after="12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Integrante Demandante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hd w:fill="ffffff" w:val="clear"/>
              <w:spacing w:after="12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hd w:fill="ffffff" w:val="clear"/>
        <w:spacing w:after="0" w:line="276" w:lineRule="auto"/>
        <w:rPr>
          <w:rFonts w:ascii="Arial" w:cs="Arial" w:eastAsia="Arial" w:hAnsi="Arial"/>
          <w:color w:val="2b2b2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keepLines w:val="0"/>
        <w:shd w:fill="ffffff" w:val="clear"/>
        <w:spacing w:before="240" w:line="240" w:lineRule="auto"/>
        <w:ind w:left="1080" w:firstLine="0"/>
        <w:jc w:val="both"/>
        <w:rPr>
          <w:rFonts w:ascii="Arial" w:cs="Arial" w:eastAsia="Arial" w:hAnsi="Arial"/>
          <w:b w:val="0"/>
          <w:color w:val="05377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keepLines w:val="0"/>
        <w:shd w:fill="ffffff" w:val="clear"/>
        <w:spacing w:before="240" w:line="240" w:lineRule="auto"/>
        <w:ind w:left="1080" w:firstLine="0"/>
        <w:jc w:val="both"/>
        <w:rPr>
          <w:rFonts w:ascii="Arial" w:cs="Arial" w:eastAsia="Arial" w:hAnsi="Arial"/>
          <w:b w:val="0"/>
          <w:color w:val="05377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keepLines w:val="0"/>
        <w:shd w:fill="ffffff" w:val="clear"/>
        <w:spacing w:before="240" w:line="240" w:lineRule="auto"/>
        <w:ind w:left="1080" w:firstLine="0"/>
        <w:jc w:val="both"/>
        <w:rPr>
          <w:rFonts w:ascii="Arial" w:cs="Arial" w:eastAsia="Arial" w:hAnsi="Arial"/>
          <w:b w:val="0"/>
          <w:color w:val="05377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keepLines w:val="0"/>
        <w:shd w:fill="ffffff" w:val="clear"/>
        <w:spacing w:before="240" w:line="240" w:lineRule="auto"/>
        <w:ind w:left="1080" w:firstLine="0"/>
        <w:jc w:val="both"/>
        <w:rPr>
          <w:rFonts w:ascii="Arial" w:cs="Arial" w:eastAsia="Arial" w:hAnsi="Arial"/>
          <w:b w:val="0"/>
          <w:color w:val="05377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keepLines w:val="0"/>
        <w:shd w:fill="ffffff" w:val="clear"/>
        <w:spacing w:before="240" w:line="240" w:lineRule="auto"/>
        <w:ind w:left="1080" w:firstLine="0"/>
        <w:jc w:val="both"/>
        <w:rPr>
          <w:rFonts w:ascii="Arial" w:cs="Arial" w:eastAsia="Arial" w:hAnsi="Arial"/>
          <w:b w:val="0"/>
          <w:color w:val="05377a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0"/>
          <w:color w:val="05377a"/>
          <w:sz w:val="36"/>
          <w:szCs w:val="36"/>
          <w:rtl w:val="0"/>
        </w:rPr>
        <w:t xml:space="preserve">11.ANEXOS</w:t>
      </w:r>
    </w:p>
    <w:p w:rsidR="00000000" w:rsidDel="00000000" w:rsidP="00000000" w:rsidRDefault="00000000" w:rsidRPr="00000000" w14:paraId="00000057">
      <w:pPr>
        <w:widowControl w:val="0"/>
        <w:shd w:fill="ffffff" w:val="clear"/>
        <w:spacing w:after="220" w:line="240" w:lineRule="auto"/>
        <w:ind w:left="720" w:firstLine="720"/>
        <w:jc w:val="both"/>
        <w:rPr>
          <w:rFonts w:ascii="Arial" w:cs="Arial" w:eastAsia="Arial" w:hAnsi="Arial"/>
          <w:color w:val="2b2b2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numPr>
          <w:ilvl w:val="1"/>
          <w:numId w:val="1"/>
        </w:numPr>
        <w:shd w:fill="ffffff" w:val="clear"/>
        <w:spacing w:after="120" w:line="240" w:lineRule="auto"/>
        <w:ind w:left="1440" w:hanging="360"/>
        <w:jc w:val="both"/>
        <w:rPr>
          <w:rFonts w:ascii="Arial" w:cs="Arial" w:eastAsia="Arial" w:hAnsi="Arial"/>
          <w:color w:val="000080"/>
          <w:sz w:val="32"/>
          <w:szCs w:val="32"/>
        </w:rPr>
      </w:pPr>
      <w:bookmarkStart w:colFirst="0" w:colLast="0" w:name="_30j0zll" w:id="30"/>
      <w:bookmarkEnd w:id="30"/>
      <w:r w:rsidDel="00000000" w:rsidR="00000000" w:rsidRPr="00000000">
        <w:rPr>
          <w:rFonts w:ascii="Arial" w:cs="Arial" w:eastAsia="Arial" w:hAnsi="Arial"/>
          <w:b w:val="0"/>
          <w:color w:val="000080"/>
          <w:sz w:val="32"/>
          <w:szCs w:val="32"/>
          <w:rtl w:val="0"/>
        </w:rPr>
        <w:t xml:space="preserve">Lista de Potenciais Fornecedores - Anexo A</w:t>
      </w:r>
    </w:p>
    <w:p w:rsidR="00000000" w:rsidDel="00000000" w:rsidP="00000000" w:rsidRDefault="00000000" w:rsidRPr="00000000" w14:paraId="00000059">
      <w:pPr>
        <w:pStyle w:val="Subtitle"/>
        <w:spacing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Descrição do objeto contratado:</w:t>
      </w:r>
    </w:p>
    <w:tbl>
      <w:tblPr>
        <w:tblStyle w:val="Table3"/>
        <w:tblW w:w="8720.0" w:type="dxa"/>
        <w:jc w:val="left"/>
        <w:tblInd w:w="-113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551"/>
        <w:gridCol w:w="8169"/>
        <w:tblGridChange w:id="0">
          <w:tblGrid>
            <w:gridCol w:w="551"/>
            <w:gridCol w:w="81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hd w:fill="ffffff" w:val="clear"/>
              <w:spacing w:after="0" w:line="240" w:lineRule="auto"/>
              <w:ind w:firstLine="72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e5e5" w:val="clear"/>
          </w:tcPr>
          <w:p w:rsidR="00000000" w:rsidDel="00000000" w:rsidP="00000000" w:rsidRDefault="00000000" w:rsidRPr="00000000" w14:paraId="0000005B">
            <w:pPr>
              <w:widowControl w:val="0"/>
              <w:shd w:fill="ffffff" w:val="clear"/>
              <w:spacing w:after="0" w:line="240" w:lineRule="auto"/>
              <w:ind w:firstLine="72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Fornecedor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hd w:fill="ffffff" w:val="clear"/>
              <w:spacing w:after="0" w:line="240" w:lineRule="auto"/>
              <w:ind w:firstLine="72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widowControl w:val="0"/>
              <w:shd w:fill="ffffff" w:val="clear"/>
              <w:spacing w:after="0" w:line="276" w:lineRule="auto"/>
              <w:ind w:firstLine="72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5E">
            <w:pPr>
              <w:widowControl w:val="0"/>
              <w:shd w:fill="ffffff" w:val="clear"/>
              <w:spacing w:after="0" w:line="276" w:lineRule="auto"/>
              <w:ind w:firstLine="72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Telefone: </w:t>
            </w:r>
          </w:p>
          <w:p w:rsidR="00000000" w:rsidDel="00000000" w:rsidP="00000000" w:rsidRDefault="00000000" w:rsidRPr="00000000" w14:paraId="0000005F">
            <w:pPr>
              <w:widowControl w:val="0"/>
              <w:shd w:fill="ffffff" w:val="clear"/>
              <w:spacing w:after="0" w:line="276" w:lineRule="auto"/>
              <w:ind w:firstLine="72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60">
            <w:pPr>
              <w:widowControl w:val="0"/>
              <w:shd w:fill="ffffff" w:val="clear"/>
              <w:spacing w:after="0" w:line="276" w:lineRule="auto"/>
              <w:ind w:firstLine="72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Contato: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hd w:fill="ffffff" w:val="clear"/>
              <w:spacing w:after="0" w:line="240" w:lineRule="auto"/>
              <w:ind w:firstLine="72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widowControl w:val="0"/>
              <w:shd w:fill="ffffff" w:val="clear"/>
              <w:spacing w:after="0" w:line="276" w:lineRule="auto"/>
              <w:ind w:firstLine="72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63">
            <w:pPr>
              <w:widowControl w:val="0"/>
              <w:shd w:fill="ffffff" w:val="clear"/>
              <w:spacing w:after="0" w:line="276" w:lineRule="auto"/>
              <w:ind w:firstLine="72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Telefone: </w:t>
            </w:r>
          </w:p>
          <w:p w:rsidR="00000000" w:rsidDel="00000000" w:rsidP="00000000" w:rsidRDefault="00000000" w:rsidRPr="00000000" w14:paraId="00000064">
            <w:pPr>
              <w:widowControl w:val="0"/>
              <w:shd w:fill="ffffff" w:val="clear"/>
              <w:spacing w:after="0" w:line="276" w:lineRule="auto"/>
              <w:ind w:firstLine="72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65">
            <w:pPr>
              <w:widowControl w:val="0"/>
              <w:shd w:fill="ffffff" w:val="clear"/>
              <w:spacing w:after="0" w:line="276" w:lineRule="auto"/>
              <w:ind w:firstLine="72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Contato: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hd w:fill="ffffff" w:val="clear"/>
              <w:spacing w:after="0" w:line="240" w:lineRule="auto"/>
              <w:ind w:firstLine="72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0"/>
              <w:shd w:fill="ffffff" w:val="clear"/>
              <w:spacing w:after="0" w:line="276" w:lineRule="auto"/>
              <w:ind w:firstLine="72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68">
            <w:pPr>
              <w:widowControl w:val="0"/>
              <w:shd w:fill="ffffff" w:val="clear"/>
              <w:spacing w:after="0" w:line="276" w:lineRule="auto"/>
              <w:ind w:firstLine="72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Telefone: </w:t>
            </w:r>
          </w:p>
          <w:p w:rsidR="00000000" w:rsidDel="00000000" w:rsidP="00000000" w:rsidRDefault="00000000" w:rsidRPr="00000000" w14:paraId="00000069">
            <w:pPr>
              <w:widowControl w:val="0"/>
              <w:shd w:fill="ffffff" w:val="clear"/>
              <w:spacing w:after="0" w:line="276" w:lineRule="auto"/>
              <w:ind w:firstLine="72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6A">
            <w:pPr>
              <w:widowControl w:val="0"/>
              <w:shd w:fill="ffffff" w:val="clear"/>
              <w:spacing w:after="0" w:line="276" w:lineRule="auto"/>
              <w:ind w:firstLine="72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Contato: </w:t>
            </w:r>
          </w:p>
        </w:tc>
      </w:tr>
    </w:tbl>
    <w:p w:rsidR="00000000" w:rsidDel="00000000" w:rsidP="00000000" w:rsidRDefault="00000000" w:rsidRPr="00000000" w14:paraId="0000006B">
      <w:pPr>
        <w:widowControl w:val="0"/>
        <w:shd w:fill="ffffff" w:val="clear"/>
        <w:spacing w:after="200" w:line="276" w:lineRule="auto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hd w:fill="ffffff" w:val="clear"/>
        <w:spacing w:after="200" w:line="276" w:lineRule="auto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2"/>
        <w:numPr>
          <w:ilvl w:val="1"/>
          <w:numId w:val="1"/>
        </w:numPr>
        <w:shd w:fill="ffffff" w:val="clear"/>
        <w:spacing w:after="120" w:line="240" w:lineRule="auto"/>
        <w:ind w:left="1440" w:hanging="360"/>
        <w:jc w:val="both"/>
        <w:rPr>
          <w:rFonts w:ascii="Arial" w:cs="Arial" w:eastAsia="Arial" w:hAnsi="Arial"/>
          <w:b w:val="1"/>
          <w:color w:val="000080"/>
          <w:sz w:val="32"/>
          <w:szCs w:val="32"/>
        </w:rPr>
      </w:pPr>
      <w:bookmarkStart w:colFirst="0" w:colLast="0" w:name="_6ul0myij070m" w:id="31"/>
      <w:bookmarkEnd w:id="31"/>
      <w:r w:rsidDel="00000000" w:rsidR="00000000" w:rsidRPr="00000000">
        <w:rPr>
          <w:rFonts w:ascii="Arial" w:cs="Arial" w:eastAsia="Arial" w:hAnsi="Arial"/>
          <w:b w:val="0"/>
          <w:color w:val="000080"/>
          <w:sz w:val="32"/>
          <w:szCs w:val="32"/>
          <w:rtl w:val="0"/>
        </w:rPr>
        <w:t xml:space="preserve">Memória de Cálculo - Anexo B</w:t>
      </w:r>
    </w:p>
    <w:p w:rsidR="00000000" w:rsidDel="00000000" w:rsidP="00000000" w:rsidRDefault="00000000" w:rsidRPr="00000000" w14:paraId="0000006E">
      <w:pPr>
        <w:widowControl w:val="0"/>
        <w:shd w:fill="ffffff" w:val="clear"/>
        <w:spacing w:after="200" w:line="276" w:lineRule="auto"/>
        <w:jc w:val="both"/>
        <w:rPr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701" w:right="1701" w:header="708" w:footer="29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567" w:right="3542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e75b5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e75b5"/>
        <w:sz w:val="20"/>
        <w:szCs w:val="20"/>
        <w:u w:val="none"/>
        <w:shd w:fill="auto" w:val="clear"/>
        <w:vertAlign w:val="baseline"/>
        <w:rtl w:val="0"/>
      </w:rPr>
      <w:t xml:space="preserve">COMPANHIA DE PROCESSAMENTO DE DADOS DA PARAÍBA </w:t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567" w:right="3542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e75b5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e75b5"/>
        <w:sz w:val="20"/>
        <w:szCs w:val="20"/>
        <w:u w:val="none"/>
        <w:shd w:fill="auto" w:val="clear"/>
        <w:vertAlign w:val="baseline"/>
        <w:rtl w:val="0"/>
      </w:rPr>
      <w:t xml:space="preserve">CNPJ 09.189.499/0001-00 - Rua Barão do Triunfo, 340, Varadouro – João Pessoa – PB – CEP: 58.010-400 – Fone: (83) 3208.4450</w:t>
    </w:r>
  </w:p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604.5pt;height:855.0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604.5pt;height:855.0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604.5pt;height:855.0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color w:val="1f497d"/>
        <w:sz w:val="32"/>
        <w:szCs w:val="3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